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E4" w:rsidRPr="00FC540A" w:rsidRDefault="00FC540A" w:rsidP="00FC540A">
      <w:pPr>
        <w:jc w:val="center"/>
        <w:rPr>
          <w:rFonts w:ascii="Cambria" w:hAnsi="Cambria"/>
          <w:b/>
          <w:bCs/>
          <w:sz w:val="36"/>
          <w:szCs w:val="36"/>
        </w:rPr>
      </w:pPr>
      <w:r w:rsidRPr="00FC540A">
        <w:rPr>
          <w:rFonts w:ascii="Cambria" w:hAnsi="Cambria"/>
          <w:b/>
          <w:bCs/>
          <w:sz w:val="36"/>
          <w:szCs w:val="36"/>
        </w:rPr>
        <w:t>NOTE AUX ETUDIANTS</w:t>
      </w:r>
    </w:p>
    <w:p w:rsidR="00FC540A" w:rsidRDefault="00FC540A" w:rsidP="00FC540A">
      <w:p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222222"/>
          <w:sz w:val="28"/>
          <w:szCs w:val="28"/>
          <w:lang w:eastAsia="fr-FR"/>
        </w:rPr>
      </w:pPr>
      <w:r w:rsidRPr="00FC540A">
        <w:rPr>
          <w:rFonts w:ascii="Cambria" w:eastAsia="Times New Roman" w:hAnsi="Cambria" w:cs="Arial"/>
          <w:color w:val="222222"/>
          <w:sz w:val="28"/>
          <w:szCs w:val="28"/>
          <w:lang w:eastAsia="fr-FR"/>
        </w:rPr>
        <w:t xml:space="preserve">Une opération de transport sera organisée par les DOU d'Oran </w:t>
      </w:r>
      <w:r w:rsidRPr="00FC540A">
        <w:rPr>
          <w:rFonts w:ascii="Cambria" w:eastAsia="Times New Roman" w:hAnsi="Cambria" w:cs="Arial"/>
          <w:color w:val="222222"/>
          <w:sz w:val="28"/>
          <w:szCs w:val="28"/>
          <w:lang w:eastAsia="fr-FR"/>
        </w:rPr>
        <w:t>le Samedi 10 octobre 2020</w:t>
      </w:r>
      <w:r w:rsidRPr="00FC540A">
        <w:rPr>
          <w:rFonts w:ascii="Cambria" w:eastAsia="Times New Roman" w:hAnsi="Cambria" w:cs="Arial"/>
          <w:color w:val="222222"/>
          <w:sz w:val="28"/>
          <w:szCs w:val="28"/>
          <w:lang w:eastAsia="fr-FR"/>
        </w:rPr>
        <w:t xml:space="preserve"> pour les étudiants inscrits dans les établissements d'Oran. Cette opération permettra d'envoyer des bus vers les wilayas suivantes : </w:t>
      </w:r>
    </w:p>
    <w:p w:rsidR="00FC540A" w:rsidRPr="00FC540A" w:rsidRDefault="00FC540A" w:rsidP="00FC540A">
      <w:pPr>
        <w:pStyle w:val="Paragraphedeliste"/>
        <w:numPr>
          <w:ilvl w:val="0"/>
          <w:numId w:val="1"/>
        </w:num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222222"/>
          <w:sz w:val="28"/>
          <w:szCs w:val="28"/>
          <w:lang w:eastAsia="fr-FR"/>
        </w:rPr>
      </w:pP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 xml:space="preserve">Alger, </w:t>
      </w:r>
    </w:p>
    <w:p w:rsidR="00FC540A" w:rsidRPr="00FC540A" w:rsidRDefault="00FC540A" w:rsidP="00FC540A">
      <w:pPr>
        <w:pStyle w:val="Paragraphedeliste"/>
        <w:numPr>
          <w:ilvl w:val="0"/>
          <w:numId w:val="1"/>
        </w:num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222222"/>
          <w:sz w:val="28"/>
          <w:szCs w:val="28"/>
          <w:lang w:eastAsia="fr-FR"/>
        </w:rPr>
      </w:pP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 xml:space="preserve">Chlef, </w:t>
      </w:r>
    </w:p>
    <w:p w:rsidR="00FC540A" w:rsidRPr="00FC540A" w:rsidRDefault="00FC540A" w:rsidP="00FC540A">
      <w:pPr>
        <w:pStyle w:val="Paragraphedeliste"/>
        <w:numPr>
          <w:ilvl w:val="0"/>
          <w:numId w:val="1"/>
        </w:num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222222"/>
          <w:sz w:val="28"/>
          <w:szCs w:val="28"/>
          <w:lang w:eastAsia="fr-FR"/>
        </w:rPr>
      </w:pP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 xml:space="preserve">Ain </w:t>
      </w:r>
      <w:proofErr w:type="spellStart"/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Defla</w:t>
      </w:r>
      <w:proofErr w:type="spellEnd"/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 xml:space="preserve">, </w:t>
      </w:r>
    </w:p>
    <w:p w:rsidR="00FC540A" w:rsidRPr="00FC540A" w:rsidRDefault="00FC540A" w:rsidP="00FC540A">
      <w:pPr>
        <w:pStyle w:val="Paragraphedeliste"/>
        <w:numPr>
          <w:ilvl w:val="0"/>
          <w:numId w:val="1"/>
        </w:num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222222"/>
          <w:sz w:val="28"/>
          <w:szCs w:val="28"/>
          <w:lang w:eastAsia="fr-FR"/>
        </w:rPr>
      </w:pP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 xml:space="preserve">Relizane, </w:t>
      </w:r>
    </w:p>
    <w:p w:rsidR="00FC540A" w:rsidRPr="00FC540A" w:rsidRDefault="00FC540A" w:rsidP="00FC540A">
      <w:pPr>
        <w:pStyle w:val="Paragraphedeliste"/>
        <w:numPr>
          <w:ilvl w:val="0"/>
          <w:numId w:val="1"/>
        </w:num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222222"/>
          <w:sz w:val="28"/>
          <w:szCs w:val="28"/>
          <w:lang w:eastAsia="fr-FR"/>
        </w:rPr>
      </w:pP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 xml:space="preserve">Tiaret </w:t>
      </w: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 xml:space="preserve">(en plus des étudiants de </w:t>
      </w: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Tissemsilt</w:t>
      </w: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)</w:t>
      </w: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 xml:space="preserve">, </w:t>
      </w:r>
    </w:p>
    <w:p w:rsidR="00FC540A" w:rsidRPr="00FC540A" w:rsidRDefault="00FC540A" w:rsidP="00FC540A">
      <w:pPr>
        <w:pStyle w:val="Paragraphedeliste"/>
        <w:numPr>
          <w:ilvl w:val="0"/>
          <w:numId w:val="1"/>
        </w:num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222222"/>
          <w:sz w:val="28"/>
          <w:szCs w:val="28"/>
          <w:lang w:eastAsia="fr-FR"/>
        </w:rPr>
      </w:pP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Na</w:t>
      </w: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â</w:t>
      </w: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ma</w:t>
      </w: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 xml:space="preserve"> (en plus des étudiants d’</w:t>
      </w: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Adrar</w:t>
      </w: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 xml:space="preserve"> et</w:t>
      </w: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 xml:space="preserve"> B</w:t>
      </w: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é</w:t>
      </w: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char</w:t>
      </w: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)</w:t>
      </w: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,</w:t>
      </w:r>
    </w:p>
    <w:p w:rsidR="00FC540A" w:rsidRPr="00FC540A" w:rsidRDefault="00FC540A" w:rsidP="00FC540A">
      <w:pPr>
        <w:pStyle w:val="Paragraphedeliste"/>
        <w:numPr>
          <w:ilvl w:val="0"/>
          <w:numId w:val="1"/>
        </w:num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222222"/>
          <w:sz w:val="28"/>
          <w:szCs w:val="28"/>
          <w:lang w:eastAsia="fr-FR"/>
        </w:rPr>
      </w:pP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Mascara</w:t>
      </w: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,</w:t>
      </w:r>
    </w:p>
    <w:p w:rsidR="00FC540A" w:rsidRPr="00FC540A" w:rsidRDefault="00FC540A" w:rsidP="00FC540A">
      <w:pPr>
        <w:pStyle w:val="Paragraphedeliste"/>
        <w:numPr>
          <w:ilvl w:val="0"/>
          <w:numId w:val="1"/>
        </w:num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222222"/>
          <w:sz w:val="28"/>
          <w:szCs w:val="28"/>
          <w:lang w:eastAsia="fr-FR"/>
        </w:rPr>
      </w:pPr>
      <w:r w:rsidRPr="00FC540A">
        <w:rPr>
          <w:rFonts w:ascii="Cambria" w:hAnsi="Cambria" w:cs="Arial"/>
          <w:color w:val="222222"/>
          <w:sz w:val="28"/>
          <w:szCs w:val="28"/>
        </w:rPr>
        <w:t xml:space="preserve">Saida, El Bayadh, </w:t>
      </w:r>
    </w:p>
    <w:p w:rsidR="00FC540A" w:rsidRDefault="00FC540A" w:rsidP="00FC540A">
      <w:pPr>
        <w:pStyle w:val="Paragraphedeliste"/>
        <w:numPr>
          <w:ilvl w:val="0"/>
          <w:numId w:val="1"/>
        </w:num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222222"/>
          <w:sz w:val="28"/>
          <w:szCs w:val="28"/>
          <w:lang w:eastAsia="fr-FR"/>
        </w:rPr>
      </w:pPr>
      <w:r w:rsidRPr="00FC540A">
        <w:rPr>
          <w:rFonts w:ascii="Cambria" w:eastAsia="Times New Roman" w:hAnsi="Cambria" w:cs="Arial"/>
          <w:color w:val="222222"/>
          <w:sz w:val="28"/>
          <w:szCs w:val="28"/>
          <w:lang w:eastAsia="fr-FR"/>
        </w:rPr>
        <w:t xml:space="preserve">Ain Témouchent, Tlemcen, Sidi Bel Abbes </w:t>
      </w:r>
    </w:p>
    <w:p w:rsidR="00FC540A" w:rsidRPr="00FC540A" w:rsidRDefault="00FC540A" w:rsidP="00FC540A">
      <w:pPr>
        <w:pStyle w:val="Paragraphedeliste"/>
        <w:numPr>
          <w:ilvl w:val="0"/>
          <w:numId w:val="1"/>
        </w:num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222222"/>
          <w:sz w:val="28"/>
          <w:szCs w:val="28"/>
          <w:lang w:eastAsia="fr-FR"/>
        </w:rPr>
      </w:pPr>
      <w:r w:rsidRPr="00FC540A">
        <w:rPr>
          <w:rFonts w:ascii="Cambria" w:eastAsia="Times New Roman" w:hAnsi="Cambria" w:cs="Arial"/>
          <w:color w:val="222222"/>
          <w:sz w:val="28"/>
          <w:szCs w:val="28"/>
          <w:lang w:eastAsia="fr-FR"/>
        </w:rPr>
        <w:t>Mostaganem</w:t>
      </w:r>
    </w:p>
    <w:p w:rsidR="00FC540A" w:rsidRPr="00FC540A" w:rsidRDefault="00FC540A" w:rsidP="00FC540A">
      <w:p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fr-FR"/>
        </w:rPr>
      </w:pPr>
      <w:r w:rsidRPr="00FC540A">
        <w:rPr>
          <w:rFonts w:ascii="Cambria" w:eastAsia="Times New Roman" w:hAnsi="Cambria" w:cs="Arial"/>
          <w:color w:val="000000"/>
          <w:sz w:val="28"/>
          <w:szCs w:val="28"/>
          <w:u w:val="single"/>
          <w:lang w:eastAsia="fr-FR"/>
        </w:rPr>
        <w:t>Remarques importantes</w:t>
      </w: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 xml:space="preserve"> : </w:t>
      </w:r>
    </w:p>
    <w:p w:rsidR="00FC540A" w:rsidRPr="00FC540A" w:rsidRDefault="00FC540A" w:rsidP="00FC540A">
      <w:p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fr-FR"/>
        </w:rPr>
      </w:pP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1- Le Vendredi 09 Octobre, les étudiants résidant à Adrar et Béchar seront transportés par les DOU d'Adrar et Béchar jusqu'à Naama puis transportés le samedi vers Oran avec les étudiants résidant à Naâma.</w:t>
      </w:r>
    </w:p>
    <w:p w:rsidR="00FC540A" w:rsidRPr="00FC540A" w:rsidRDefault="00FC540A" w:rsidP="00FC540A">
      <w:p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fr-FR"/>
        </w:rPr>
      </w:pP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2- les étudiants de Tissemsilt seront transportés par les DOU de Tissemsilt jusqu'à Tiaret et ensuite vers Oran.</w:t>
      </w:r>
    </w:p>
    <w:p w:rsidR="00FC540A" w:rsidRPr="00FC540A" w:rsidRDefault="00FC540A" w:rsidP="00FC540A">
      <w:p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fr-FR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3</w:t>
      </w: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 xml:space="preserve">- les étudiants du Sud inscrits dans d'autres établissements </w:t>
      </w: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 xml:space="preserve">hors wilaya d’Oran, </w:t>
      </w: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tel que Tlemcen, Mostaganem, Sidi Bel Abbes, peuvent profiter de cette opération pour arriver à Oran.  </w:t>
      </w:r>
    </w:p>
    <w:p w:rsidR="00FC540A" w:rsidRPr="00FC540A" w:rsidRDefault="00FC540A" w:rsidP="00FC540A">
      <w:p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fr-FR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4</w:t>
      </w: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- Pour les étudiants résidant dans les wilayas de la région Centre, ils doivent faire en sorte à se regrouper pour prendre les bus programmés à partir d'Alger.</w:t>
      </w:r>
    </w:p>
    <w:p w:rsidR="00FC540A" w:rsidRPr="00FC540A" w:rsidRDefault="00FC540A" w:rsidP="00FC540A">
      <w:p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fr-FR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5</w:t>
      </w: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- Les étudiants qui auront terminés leurs examens peuvent repartir vers leurs wilayas de résidence avec ses mêmes bus.</w:t>
      </w:r>
    </w:p>
    <w:p w:rsidR="00FC540A" w:rsidRDefault="00FC540A" w:rsidP="00FC540A">
      <w:pPr>
        <w:shd w:val="clear" w:color="auto" w:fill="FFFFFF"/>
        <w:spacing w:before="120" w:after="0" w:line="276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fr-FR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6</w:t>
      </w:r>
      <w:r w:rsidRPr="00FC540A"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- Pour les étudiants résidents dans les wilayas de la région EST, nous sommes en train de voir comment les transporter en impliquant les DOU de ses wilayas</w:t>
      </w:r>
      <w:r>
        <w:rPr>
          <w:rFonts w:ascii="Cambria" w:eastAsia="Times New Roman" w:hAnsi="Cambria" w:cs="Arial"/>
          <w:color w:val="000000"/>
          <w:sz w:val="28"/>
          <w:szCs w:val="28"/>
          <w:lang w:eastAsia="fr-FR"/>
        </w:rPr>
        <w:t>.</w:t>
      </w:r>
    </w:p>
    <w:p w:rsidR="00FC540A" w:rsidRDefault="00FC540A" w:rsidP="00FC540A">
      <w:pPr>
        <w:shd w:val="clear" w:color="auto" w:fill="FFFFFF"/>
        <w:spacing w:before="120" w:after="0" w:line="276" w:lineRule="auto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fr-FR"/>
        </w:rPr>
        <w:sectPr w:rsidR="00FC54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fr-FR"/>
        </w:rPr>
        <w:t>Pour la précision des dates, horaires et lieux de ramassage, prière prendre connaissance du</w:t>
      </w:r>
      <w:r w:rsidRPr="00FC540A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fr-FR"/>
        </w:rPr>
        <w:t xml:space="preserve"> plan du transport des DOU d’Oran</w:t>
      </w:r>
    </w:p>
    <w:p w:rsidR="00FC540A" w:rsidRDefault="002754AE" w:rsidP="00FC540A">
      <w:pPr>
        <w:shd w:val="clear" w:color="auto" w:fill="FFFFFF"/>
        <w:spacing w:before="120" w:after="0" w:line="276" w:lineRule="auto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fr-FR"/>
        </w:rPr>
      </w:pPr>
      <w:r>
        <w:rPr>
          <w:rFonts w:ascii="Cambria" w:eastAsia="Times New Roman" w:hAnsi="Cambria" w:cs="Arial"/>
          <w:b/>
          <w:bCs/>
          <w:noProof/>
          <w:color w:val="000000"/>
          <w:sz w:val="28"/>
          <w:szCs w:val="28"/>
          <w:lang w:eastAsia="fr-FR"/>
        </w:rPr>
        <w:lastRenderedPageBreak/>
        <w:drawing>
          <wp:inline distT="0" distB="0" distL="0" distR="0">
            <wp:extent cx="8953500" cy="505726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026" cy="506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40A" w:rsidSect="00FC54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31E15"/>
    <w:multiLevelType w:val="hybridMultilevel"/>
    <w:tmpl w:val="415AA1CC"/>
    <w:lvl w:ilvl="0" w:tplc="640CB13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0A"/>
    <w:rsid w:val="002754AE"/>
    <w:rsid w:val="00A973E4"/>
    <w:rsid w:val="00F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FBB4"/>
  <w15:chartTrackingRefBased/>
  <w15:docId w15:val="{D22EE264-1F73-42A5-A739-EC6500D0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5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Karoui Arezki</dc:creator>
  <cp:keywords/>
  <dc:description/>
  <cp:lastModifiedBy>Karoui Arezki</cp:lastModifiedBy>
  <cp:revision>2</cp:revision>
  <dcterms:created xsi:type="dcterms:W3CDTF">2020-10-06T13:40:00Z</dcterms:created>
  <dcterms:modified xsi:type="dcterms:W3CDTF">2020-10-06T14:32:00Z</dcterms:modified>
</cp:coreProperties>
</file>